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11B" w:rsidRDefault="0055311B">
      <w:pPr>
        <w:spacing w:after="0" w:line="240" w:lineRule="auto"/>
        <w:jc w:val="center"/>
        <w:rPr>
          <w:rFonts w:ascii="Arial Narrow" w:hAnsi="Arial Narrow" w:cs="Times New Roman"/>
          <w:bCs/>
          <w:sz w:val="10"/>
          <w:szCs w:val="10"/>
        </w:rPr>
      </w:pPr>
    </w:p>
    <w:p w:rsidR="0055311B" w:rsidRDefault="00D10CD1">
      <w:pPr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:rsidR="0055311B" w:rsidRDefault="00D10CD1">
      <w:pPr>
        <w:pStyle w:val="Sansinterligne"/>
        <w:jc w:val="center"/>
        <w:rPr>
          <w:i/>
          <w:lang w:eastAsia="ar-SA"/>
        </w:rPr>
      </w:pPr>
      <w:r>
        <w:rPr>
          <w:i/>
          <w:lang w:eastAsia="ar-SA"/>
        </w:rPr>
        <w:t>Les candidats souhaitant participer à la consultation devront remplir ce cadre de réponse technique (CRT) sans y apporter de modification.</w:t>
      </w:r>
    </w:p>
    <w:p w:rsidR="0055311B" w:rsidRDefault="00D10CD1">
      <w:pPr>
        <w:pStyle w:val="Sansinterligne"/>
        <w:jc w:val="center"/>
        <w:rPr>
          <w:i/>
          <w:lang w:eastAsia="ar-SA"/>
        </w:rPr>
      </w:pPr>
      <w:r>
        <w:rPr>
          <w:i/>
          <w:lang w:eastAsia="ar-SA"/>
        </w:rPr>
        <w:t>Les éléments peuvent être renseignés sur papier libre ou dans d’autres documents. En cas</w:t>
      </w:r>
      <w:r>
        <w:rPr>
          <w:i/>
          <w:lang w:eastAsia="ar-SA"/>
        </w:rPr>
        <w:t xml:space="preserve"> de renvoi vers d’autres documents, indiquez clairement dans le cadre de réponse technique la référence du document et la page ou paragraphe où trouver l’information.</w:t>
      </w:r>
    </w:p>
    <w:p w:rsidR="0055311B" w:rsidRDefault="00D10CD1">
      <w:pPr>
        <w:pStyle w:val="Sansinterligne"/>
        <w:jc w:val="center"/>
        <w:rPr>
          <w:i/>
          <w:lang w:eastAsia="ar-SA"/>
        </w:rPr>
      </w:pPr>
      <w:r>
        <w:rPr>
          <w:i/>
          <w:lang w:eastAsia="ar-SA"/>
        </w:rPr>
        <w:t>Toute modification dérogeant à l’ensemble des documents de la consultation et notamment d</w:t>
      </w:r>
      <w:r>
        <w:rPr>
          <w:i/>
          <w:lang w:eastAsia="ar-SA"/>
        </w:rPr>
        <w:t>u cahier des charges rendra l’offre irrecevable.</w:t>
      </w:r>
    </w:p>
    <w:p w:rsidR="0055311B" w:rsidRDefault="0055311B">
      <w:pPr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50"/>
        <w:gridCol w:w="9759"/>
      </w:tblGrid>
      <w:tr w:rsidR="0055311B">
        <w:trPr>
          <w:trHeight w:val="539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spacing w:after="0"/>
              <w:jc w:val="center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55311B">
            <w:pPr>
              <w:spacing w:after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55311B">
        <w:trPr>
          <w:trHeight w:val="539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spacing w:after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:rsidR="0055311B" w:rsidRDefault="00D10CD1">
            <w:pPr>
              <w:spacing w:after="0"/>
              <w:jc w:val="center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55311B">
            <w:pPr>
              <w:spacing w:after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:rsidR="0055311B" w:rsidRDefault="0055311B">
      <w:pPr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  <w:bookmarkStart w:id="0" w:name="_GoBack"/>
      <w:bookmarkEnd w:id="0"/>
    </w:p>
    <w:p w:rsidR="0055311B" w:rsidRDefault="0055311B">
      <w:pPr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:rsidR="0055311B" w:rsidRDefault="00D10CD1">
      <w:pPr>
        <w:pStyle w:val="Paragraphedeliste"/>
        <w:widowControl w:val="0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t>Renseignements techniques</w:t>
      </w:r>
    </w:p>
    <w:tbl>
      <w:tblPr>
        <w:tblStyle w:val="Grilledutableau"/>
        <w:tblW w:w="1470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50"/>
        <w:gridCol w:w="9759"/>
      </w:tblGrid>
      <w:tr w:rsidR="0055311B">
        <w:trPr>
          <w:trHeight w:val="488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lang w:eastAsia="ar-SA"/>
              </w:rPr>
              <w:t>Renseignements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lang w:eastAsia="ar-SA"/>
              </w:rPr>
              <w:t>Réponse du candidat</w:t>
            </w:r>
          </w:p>
        </w:tc>
      </w:tr>
      <w:tr w:rsidR="0055311B">
        <w:trPr>
          <w:trHeight w:val="868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 xml:space="preserve">Ensemble </w:t>
            </w:r>
            <w:proofErr w:type="spellStart"/>
            <w:r>
              <w:rPr>
                <w:rFonts w:eastAsia="Calibri" w:cs="Arial"/>
                <w:lang w:eastAsia="ar-SA"/>
              </w:rPr>
              <w:t>HPLCprep</w:t>
            </w:r>
            <w:proofErr w:type="spellEnd"/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Empilement du système HPLC (pompe, injecteur manuel, mélangeur de solvant) et détecteur UV : oui/non</w:t>
            </w: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Possibilité d’utiliser l’équipement en phase inverse et normale : oui/non</w:t>
            </w: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Matériaux en contact avec la phase mobile :</w:t>
            </w: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Nature des solvants organiques utilisables (méthanol, acétonitrile et eau au minimum) :</w:t>
            </w: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 xml:space="preserve">Gamme de pH recommandée : </w:t>
            </w: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Présence d’un mélangeur de solvant : Oui/Non</w:t>
            </w: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 xml:space="preserve">Nombre de prises nécessaires et leurs </w:t>
            </w:r>
            <w:r>
              <w:rPr>
                <w:rFonts w:eastAsia="Calibri" w:cstheme="minorHAnsi"/>
                <w:lang w:eastAsia="ar-SA"/>
              </w:rPr>
              <w:t>caractéristiques :</w:t>
            </w:r>
          </w:p>
        </w:tc>
      </w:tr>
      <w:tr w:rsidR="0055311B">
        <w:trPr>
          <w:trHeight w:val="328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>Pompe à solvants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Type de pompe :</w:t>
            </w: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 xml:space="preserve">Possibilité de gradient de solvants : Oui/Non        Nombre de solvants maximum : </w:t>
            </w:r>
          </w:p>
        </w:tc>
      </w:tr>
      <w:tr w:rsidR="0055311B">
        <w:trPr>
          <w:trHeight w:val="463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lastRenderedPageBreak/>
              <w:t>Injecteur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Nombre de boucles d’injection fournies et leur volume (</w:t>
            </w:r>
            <w:proofErr w:type="spellStart"/>
            <w:r>
              <w:rPr>
                <w:rFonts w:eastAsia="Calibri" w:cstheme="minorHAnsi"/>
                <w:lang w:eastAsia="ar-SA"/>
              </w:rPr>
              <w:t>mL</w:t>
            </w:r>
            <w:proofErr w:type="spellEnd"/>
            <w:r>
              <w:rPr>
                <w:rFonts w:eastAsia="Calibri" w:cstheme="minorHAnsi"/>
                <w:lang w:eastAsia="ar-SA"/>
              </w:rPr>
              <w:t xml:space="preserve">) :     </w:t>
            </w:r>
          </w:p>
        </w:tc>
      </w:tr>
      <w:tr w:rsidR="0055311B">
        <w:trPr>
          <w:trHeight w:val="598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 xml:space="preserve">Détecteur UV 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 xml:space="preserve">Volume de la cellule :                </w:t>
            </w:r>
            <w:proofErr w:type="spellStart"/>
            <w:r>
              <w:rPr>
                <w:rFonts w:eastAsia="Calibri" w:cstheme="minorHAnsi"/>
                <w:lang w:eastAsia="ar-SA"/>
              </w:rPr>
              <w:t>μL</w:t>
            </w:r>
            <w:proofErr w:type="spellEnd"/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Pression supportée :               MPa</w:t>
            </w:r>
          </w:p>
        </w:tc>
      </w:tr>
      <w:tr w:rsidR="0055311B">
        <w:trPr>
          <w:trHeight w:val="598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>Collecteur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Automatique : oui/non</w:t>
            </w:r>
          </w:p>
        </w:tc>
      </w:tr>
      <w:tr w:rsidR="0055311B">
        <w:trPr>
          <w:trHeight w:val="634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>Kit de démarrage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bCs/>
                <w:lang w:eastAsia="ar-SA"/>
              </w:rPr>
            </w:pPr>
            <w:r>
              <w:rPr>
                <w:rFonts w:eastAsia="Calibri" w:cstheme="minorHAnsi"/>
                <w:bCs/>
                <w:lang w:eastAsia="ar-SA"/>
              </w:rPr>
              <w:t>Préciser la composition du kit :</w:t>
            </w: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Cs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Cs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Cs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Cs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>Délai de livraison</w:t>
            </w:r>
          </w:p>
          <w:p w:rsidR="0055311B" w:rsidRDefault="00D10CD1">
            <w:pPr>
              <w:widowControl w:val="0"/>
              <w:spacing w:after="0"/>
              <w:rPr>
                <w:rFonts w:eastAsia="Calibri" w:cs="Arial"/>
                <w:lang w:eastAsia="ar-SA"/>
              </w:rPr>
            </w:pPr>
            <w:r>
              <w:rPr>
                <w:rFonts w:eastAsia="Calibri" w:cs="Arial"/>
                <w:lang w:eastAsia="ar-SA"/>
              </w:rPr>
              <w:t>Délai de formation après la livraison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55311B">
            <w:pPr>
              <w:widowControl w:val="0"/>
              <w:spacing w:after="0"/>
              <w:rPr>
                <w:rFonts w:eastAsia="Calibri" w:cstheme="minorHAnsi"/>
                <w:b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 xml:space="preserve">Configuration Windows de l’ordinateur requise pour fonctionner avec le logiciel </w:t>
            </w:r>
            <w:r>
              <w:rPr>
                <w:rFonts w:eastAsia="Calibri" w:cs="Arial"/>
                <w:lang w:eastAsia="ar-SA"/>
              </w:rPr>
              <w:t xml:space="preserve">pour le pilotage de la </w:t>
            </w:r>
            <w:proofErr w:type="spellStart"/>
            <w:r>
              <w:rPr>
                <w:rFonts w:eastAsia="Calibri" w:cs="Arial"/>
                <w:lang w:eastAsia="ar-SA"/>
              </w:rPr>
              <w:t>HLPCprep</w:t>
            </w:r>
            <w:proofErr w:type="spellEnd"/>
            <w:r>
              <w:rPr>
                <w:rFonts w:eastAsia="Calibri" w:cs="Arial"/>
                <w:lang w:eastAsia="ar-SA"/>
              </w:rPr>
              <w:t xml:space="preserve"> ainsi que l’acquisition et le traitement des signaux des détecteurs</w:t>
            </w:r>
            <w:r>
              <w:rPr>
                <w:rFonts w:eastAsia="Calibri" w:cstheme="minorHAnsi"/>
                <w:lang w:eastAsia="ar-SA"/>
              </w:rPr>
              <w:t xml:space="preserve"> 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55311B">
            <w:pPr>
              <w:widowControl w:val="0"/>
              <w:spacing w:after="0"/>
              <w:rPr>
                <w:rFonts w:eastAsia="Calibri" w:cstheme="minorHAnsi"/>
                <w:b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50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lang w:eastAsia="ar-SA"/>
              </w:rPr>
              <w:t>Maintenance</w:t>
            </w:r>
          </w:p>
        </w:tc>
        <w:tc>
          <w:tcPr>
            <w:tcW w:w="9759" w:type="dxa"/>
            <w:shd w:val="clear" w:color="auto" w:fill="auto"/>
            <w:tcMar>
              <w:left w:w="103" w:type="dxa"/>
            </w:tcMar>
            <w:vAlign w:val="center"/>
          </w:tcPr>
          <w:p w:rsidR="0055311B" w:rsidRDefault="00D10CD1">
            <w:pPr>
              <w:pStyle w:val="Sansinterligne"/>
              <w:rPr>
                <w:lang w:eastAsia="ar-SA"/>
              </w:rPr>
            </w:pPr>
            <w:r>
              <w:rPr>
                <w:i/>
                <w:lang w:eastAsia="ar-SA"/>
              </w:rPr>
              <w:t xml:space="preserve">Types de joints, frittes, clapets, et pistons de la pompe, </w:t>
            </w:r>
            <w:r>
              <w:rPr>
                <w:i/>
                <w:lang w:eastAsia="ar-SA"/>
              </w:rPr>
              <w:t>leur fréquence de remplacement et leur coût</w:t>
            </w:r>
            <w:r>
              <w:rPr>
                <w:lang w:eastAsia="ar-SA"/>
              </w:rPr>
              <w:t> :</w:t>
            </w: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D10CD1">
            <w:pPr>
              <w:pStyle w:val="Sansinterligne"/>
              <w:rPr>
                <w:lang w:eastAsia="ar-SA"/>
              </w:rPr>
            </w:pPr>
            <w:r>
              <w:rPr>
                <w:i/>
                <w:lang w:eastAsia="ar-SA"/>
              </w:rPr>
              <w:t>Types d’aiguilles, boucles, et joints de l’injecteur, leur fréquence de remplacement et leur coût</w:t>
            </w:r>
            <w:r>
              <w:rPr>
                <w:lang w:eastAsia="ar-SA"/>
              </w:rPr>
              <w:t xml:space="preserve"> :</w:t>
            </w: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D10CD1">
            <w:pPr>
              <w:pStyle w:val="Sansinterligne"/>
              <w:rPr>
                <w:lang w:eastAsia="ar-SA"/>
              </w:rPr>
            </w:pPr>
            <w:r>
              <w:rPr>
                <w:i/>
                <w:lang w:eastAsia="ar-SA"/>
              </w:rPr>
              <w:t>Type de filtres, fréquence de remplacement sur le système HPLC et leur coût</w:t>
            </w:r>
            <w:r>
              <w:rPr>
                <w:lang w:eastAsia="ar-SA"/>
              </w:rPr>
              <w:t xml:space="preserve"> :</w:t>
            </w: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D10CD1">
            <w:pPr>
              <w:widowControl w:val="0"/>
              <w:spacing w:after="0"/>
              <w:rPr>
                <w:lang w:eastAsia="ar-SA"/>
              </w:rPr>
            </w:pPr>
            <w:r>
              <w:rPr>
                <w:i/>
                <w:lang w:eastAsia="ar-SA"/>
              </w:rPr>
              <w:t xml:space="preserve">Méthode de nettoyage, </w:t>
            </w:r>
            <w:r>
              <w:rPr>
                <w:i/>
                <w:lang w:eastAsia="ar-SA"/>
              </w:rPr>
              <w:t>fréquence de la cellule du détecteur UV, remplacement de la lampe, et leurs coûts</w:t>
            </w:r>
            <w:r>
              <w:rPr>
                <w:lang w:eastAsia="ar-SA"/>
              </w:rPr>
              <w:t xml:space="preserve"> :</w:t>
            </w: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b/>
                <w:lang w:eastAsia="ar-SA"/>
              </w:rPr>
            </w:pPr>
          </w:p>
        </w:tc>
      </w:tr>
    </w:tbl>
    <w:p w:rsidR="0055311B" w:rsidRDefault="0055311B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:rsidR="0055311B" w:rsidRDefault="00D10CD1">
      <w:pPr>
        <w:pStyle w:val="Paragraphedeliste"/>
        <w:widowControl w:val="0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lastRenderedPageBreak/>
        <w:t xml:space="preserve">Valeur technique de l’offre : 53 % </w:t>
      </w:r>
    </w:p>
    <w:tbl>
      <w:tblPr>
        <w:tblW w:w="14713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4913"/>
        <w:gridCol w:w="1342"/>
        <w:gridCol w:w="8458"/>
      </w:tblGrid>
      <w:tr w:rsidR="0055311B">
        <w:trPr>
          <w:trHeight w:val="488"/>
        </w:trPr>
        <w:tc>
          <w:tcPr>
            <w:tcW w:w="4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Pondération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5311B">
        <w:trPr>
          <w:trHeight w:val="634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t xml:space="preserve">Possibilité d’évolution du système 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rPr>
                <w:i/>
              </w:rPr>
              <w:t xml:space="preserve">Préciser les modules qui peuvent </w:t>
            </w:r>
            <w:r>
              <w:rPr>
                <w:i/>
              </w:rPr>
              <w:t>être ajoutés ou qui peuvent être améliorés</w:t>
            </w:r>
            <w:r>
              <w:t xml:space="preserve"> :</w:t>
            </w:r>
          </w:p>
          <w:p w:rsidR="0055311B" w:rsidRDefault="0055311B">
            <w:pPr>
              <w:pStyle w:val="Sansinterligne"/>
            </w:pPr>
          </w:p>
          <w:p w:rsidR="0055311B" w:rsidRDefault="0055311B">
            <w:pPr>
              <w:pStyle w:val="Sansinterligne"/>
            </w:pPr>
          </w:p>
          <w:p w:rsidR="0055311B" w:rsidRDefault="0055311B">
            <w:pPr>
              <w:pStyle w:val="Sansinterligne"/>
            </w:pPr>
          </w:p>
          <w:p w:rsidR="0055311B" w:rsidRDefault="00D10CD1">
            <w:pPr>
              <w:widowControl w:val="0"/>
              <w:spacing w:after="0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>Préciser les parties nécessitant une adaptation pour un fonctionnement en phase normale</w:t>
            </w:r>
            <w:r>
              <w:rPr>
                <w:rFonts w:eastAsia="Calibri" w:cstheme="minorHAnsi"/>
                <w:lang w:eastAsia="ar-SA"/>
              </w:rPr>
              <w:t xml:space="preserve"> :</w:t>
            </w: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i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i/>
                <w:lang w:eastAsia="ar-SA"/>
              </w:rPr>
            </w:pPr>
          </w:p>
          <w:p w:rsidR="0055311B" w:rsidRDefault="0055311B">
            <w:pPr>
              <w:widowControl w:val="0"/>
              <w:spacing w:after="0"/>
              <w:rPr>
                <w:rFonts w:eastAsia="Calibri" w:cstheme="minorHAnsi"/>
                <w:i/>
                <w:lang w:eastAsia="ar-SA"/>
              </w:rPr>
            </w:pPr>
          </w:p>
        </w:tc>
      </w:tr>
      <w:tr w:rsidR="0055311B">
        <w:trPr>
          <w:trHeight w:val="958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t>Ergonomie / encombrement d’espace paillasse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rPr>
                <w:i/>
              </w:rPr>
              <w:t>Caractéristiques</w:t>
            </w:r>
            <w:r w:rsidR="00730A53">
              <w:t>: Largeur</w:t>
            </w:r>
            <w:r>
              <w:t> :        cm ;                Hauteur :        cm ;         Profondeur :       cm ; Poids :             kg</w:t>
            </w:r>
          </w:p>
        </w:tc>
      </w:tr>
      <w:tr w:rsidR="0055311B">
        <w:trPr>
          <w:trHeight w:val="822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t>Système HPLC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rFonts w:eastAsia="Calibri" w:cstheme="minorHAnsi"/>
              </w:rPr>
            </w:pPr>
            <w:r>
              <w:rPr>
                <w:rFonts w:eastAsia="Calibri" w:cstheme="minorHAnsi"/>
                <w:i/>
                <w:lang w:eastAsia="ar-SA"/>
              </w:rPr>
              <w:t xml:space="preserve">Gamme de débit (jusqu’à 150 </w:t>
            </w:r>
            <w:proofErr w:type="spellStart"/>
            <w:r>
              <w:rPr>
                <w:rFonts w:eastAsia="Calibri" w:cstheme="minorHAnsi"/>
                <w:i/>
                <w:lang w:eastAsia="ar-SA"/>
              </w:rPr>
              <w:t>mL</w:t>
            </w:r>
            <w:proofErr w:type="spellEnd"/>
            <w:r>
              <w:rPr>
                <w:rFonts w:eastAsia="Calibri" w:cstheme="minorHAnsi"/>
                <w:i/>
                <w:lang w:eastAsia="ar-SA"/>
              </w:rPr>
              <w:t>/min minimum)</w:t>
            </w:r>
            <w:r>
              <w:rPr>
                <w:rFonts w:eastAsia="Calibri" w:cstheme="minorHAnsi"/>
                <w:lang w:eastAsia="ar-SA"/>
              </w:rPr>
              <w:t xml:space="preserve"> :     de             </w:t>
            </w:r>
            <w:proofErr w:type="spellStart"/>
            <w:r>
              <w:rPr>
                <w:rFonts w:eastAsia="Calibri" w:cstheme="minorHAnsi"/>
                <w:lang w:eastAsia="ar-SA"/>
              </w:rPr>
              <w:t>mL</w:t>
            </w:r>
            <w:proofErr w:type="spellEnd"/>
            <w:r>
              <w:rPr>
                <w:rFonts w:eastAsia="Calibri" w:cstheme="minorHAnsi"/>
                <w:lang w:eastAsia="ar-SA"/>
              </w:rPr>
              <w:t xml:space="preserve">/min   à            </w:t>
            </w:r>
            <w:proofErr w:type="spellStart"/>
            <w:r>
              <w:rPr>
                <w:rFonts w:eastAsia="Calibri" w:cstheme="minorHAnsi"/>
                <w:lang w:eastAsia="ar-SA"/>
              </w:rPr>
              <w:t>mL</w:t>
            </w:r>
            <w:proofErr w:type="spellEnd"/>
            <w:r>
              <w:rPr>
                <w:rFonts w:eastAsia="Calibri" w:cstheme="minorHAnsi"/>
                <w:lang w:eastAsia="ar-SA"/>
              </w:rPr>
              <w:t>/min</w:t>
            </w:r>
          </w:p>
          <w:p w:rsidR="0055311B" w:rsidRDefault="00D10CD1">
            <w:pPr>
              <w:pStyle w:val="Sansinterligne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 xml:space="preserve">Pression maximale </w:t>
            </w:r>
            <w:r>
              <w:rPr>
                <w:rFonts w:eastAsia="Calibri" w:cstheme="minorHAnsi"/>
                <w:lang w:eastAsia="ar-SA"/>
              </w:rPr>
              <w:t xml:space="preserve">:           </w:t>
            </w:r>
            <w:r>
              <w:rPr>
                <w:rFonts w:eastAsia="Calibri" w:cstheme="minorHAnsi"/>
                <w:lang w:eastAsia="ar-SA"/>
              </w:rPr>
              <w:t xml:space="preserve">      bar</w:t>
            </w:r>
          </w:p>
          <w:p w:rsidR="0055311B" w:rsidRDefault="00D10CD1">
            <w:pPr>
              <w:pStyle w:val="Sansinterligne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>Gamme des volumes d’injection </w:t>
            </w:r>
            <w:r>
              <w:rPr>
                <w:rFonts w:eastAsia="Calibri" w:cstheme="minorHAnsi"/>
                <w:lang w:eastAsia="ar-SA"/>
              </w:rPr>
              <w:t xml:space="preserve">:                   </w:t>
            </w:r>
            <w:proofErr w:type="spellStart"/>
            <w:r>
              <w:rPr>
                <w:rFonts w:eastAsia="Calibri" w:cstheme="minorHAnsi"/>
                <w:lang w:eastAsia="ar-SA"/>
              </w:rPr>
              <w:t>mL</w:t>
            </w:r>
            <w:proofErr w:type="spellEnd"/>
          </w:p>
        </w:tc>
      </w:tr>
      <w:tr w:rsidR="0055311B">
        <w:trPr>
          <w:trHeight w:val="634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t>Détecteur UV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>Gamme de longueur d’onde</w:t>
            </w:r>
            <w:r>
              <w:rPr>
                <w:rFonts w:eastAsia="Calibri" w:cstheme="minorHAnsi"/>
                <w:lang w:eastAsia="ar-SA"/>
              </w:rPr>
              <w:t> </w:t>
            </w:r>
            <w:r>
              <w:rPr>
                <w:rFonts w:eastAsia="Calibri" w:cstheme="minorHAnsi"/>
                <w:i/>
                <w:lang w:eastAsia="ar-SA"/>
              </w:rPr>
              <w:t xml:space="preserve">(190-600 nm minimum) </w:t>
            </w:r>
            <w:r>
              <w:rPr>
                <w:rFonts w:eastAsia="Calibri" w:cstheme="minorHAnsi"/>
                <w:lang w:eastAsia="ar-SA"/>
              </w:rPr>
              <w:t>:                   nm</w:t>
            </w:r>
          </w:p>
          <w:p w:rsidR="0055311B" w:rsidRDefault="00D10CD1">
            <w:pPr>
              <w:pStyle w:val="Sansinterligne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>Nombre de longueur d’onde utilisable simultanément (2 minimum)</w:t>
            </w:r>
            <w:r>
              <w:rPr>
                <w:rFonts w:eastAsia="Calibri" w:cstheme="minorHAnsi"/>
                <w:lang w:eastAsia="ar-SA"/>
              </w:rPr>
              <w:t xml:space="preserve"> : </w:t>
            </w:r>
          </w:p>
          <w:p w:rsidR="0055311B" w:rsidRDefault="00D10CD1">
            <w:pPr>
              <w:pStyle w:val="Sansinterligne"/>
              <w:rPr>
                <w:rFonts w:eastAsia="Calibri" w:cstheme="minorHAnsi"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>Bruit et dérive de la ligne de base</w:t>
            </w:r>
            <w:r>
              <w:rPr>
                <w:rFonts w:eastAsia="Calibri" w:cstheme="minorHAnsi"/>
                <w:lang w:eastAsia="ar-SA"/>
              </w:rPr>
              <w:t> :</w:t>
            </w:r>
          </w:p>
        </w:tc>
      </w:tr>
      <w:tr w:rsidR="0055311B">
        <w:trPr>
          <w:trHeight w:val="634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t>Collecteur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9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both"/>
              <w:rPr>
                <w:rFonts w:eastAsia="Calibri" w:cstheme="minorHAnsi"/>
                <w:i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>Nombre de racks (indiquer le nombre de positions et dimensions/volumes des tubes/flacons):</w:t>
            </w:r>
          </w:p>
          <w:p w:rsidR="0055311B" w:rsidRDefault="0055311B">
            <w:pPr>
              <w:pStyle w:val="Sansinterligne"/>
              <w:rPr>
                <w:rFonts w:eastAsia="Calibri" w:cstheme="minorHAnsi"/>
                <w:i/>
                <w:lang w:eastAsia="ar-SA"/>
              </w:rPr>
            </w:pPr>
          </w:p>
          <w:p w:rsidR="0055311B" w:rsidRDefault="0055311B">
            <w:pPr>
              <w:pStyle w:val="Sansinterligne"/>
              <w:rPr>
                <w:rFonts w:eastAsia="Calibri" w:cstheme="minorHAnsi"/>
                <w:i/>
                <w:lang w:eastAsia="ar-SA"/>
              </w:rPr>
            </w:pPr>
          </w:p>
          <w:p w:rsidR="0055311B" w:rsidRDefault="0055311B">
            <w:pPr>
              <w:pStyle w:val="Sansinterligne"/>
              <w:rPr>
                <w:rFonts w:eastAsia="Calibri" w:cstheme="minorHAnsi"/>
                <w:i/>
                <w:lang w:eastAsia="ar-SA"/>
              </w:rPr>
            </w:pPr>
          </w:p>
          <w:p w:rsidR="0055311B" w:rsidRDefault="00D10CD1">
            <w:pPr>
              <w:pStyle w:val="Sansinterligne"/>
              <w:rPr>
                <w:rFonts w:eastAsia="Calibri" w:cstheme="minorHAnsi"/>
                <w:i/>
                <w:highlight w:val="yellow"/>
              </w:rPr>
            </w:pPr>
            <w:r>
              <w:rPr>
                <w:rFonts w:eastAsia="Calibri" w:cstheme="minorHAnsi"/>
                <w:i/>
                <w:lang w:eastAsia="ar-SA"/>
              </w:rPr>
              <w:t xml:space="preserve">Dimension du collecteur : </w:t>
            </w:r>
            <w:r>
              <w:rPr>
                <w:lang w:eastAsia="ar-SA"/>
              </w:rPr>
              <w:t>largeur : cm ; hauteur : cm ; profondeur : cm ; poids : kg</w:t>
            </w:r>
          </w:p>
          <w:p w:rsidR="0055311B" w:rsidRDefault="00D10CD1">
            <w:pPr>
              <w:pStyle w:val="Sansinterligne"/>
              <w:rPr>
                <w:rFonts w:eastAsia="Calibri" w:cstheme="minorHAnsi"/>
                <w:i/>
                <w:lang w:eastAsia="ar-SA"/>
              </w:rPr>
            </w:pPr>
            <w:r>
              <w:rPr>
                <w:rFonts w:eastAsia="Calibri" w:cstheme="minorHAnsi"/>
                <w:i/>
                <w:lang w:eastAsia="ar-SA"/>
              </w:rPr>
              <w:t xml:space="preserve">Différents types de portes tubes fournis : </w:t>
            </w:r>
          </w:p>
          <w:p w:rsidR="0055311B" w:rsidRDefault="0055311B">
            <w:pPr>
              <w:pStyle w:val="Sansinterligne"/>
              <w:rPr>
                <w:rFonts w:eastAsia="Calibri" w:cstheme="minorHAnsi"/>
                <w:bCs/>
                <w:i/>
                <w:highlight w:val="yellow"/>
              </w:rPr>
            </w:pPr>
          </w:p>
          <w:p w:rsidR="0055311B" w:rsidRDefault="0055311B">
            <w:pPr>
              <w:pStyle w:val="Sansinterligne"/>
              <w:rPr>
                <w:rFonts w:eastAsia="Calibri" w:cstheme="minorHAnsi"/>
                <w:bCs/>
                <w:i/>
                <w:highlight w:val="yellow"/>
              </w:rPr>
            </w:pPr>
          </w:p>
        </w:tc>
      </w:tr>
      <w:tr w:rsidR="0055311B">
        <w:trPr>
          <w:trHeight w:val="733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Traitement, </w:t>
            </w:r>
            <w:r>
              <w:rPr>
                <w:rFonts w:ascii="Calibri" w:hAnsi="Calibri" w:cs="Calibri"/>
              </w:rPr>
              <w:t>d’exploitation et d’extraction des données du logiciel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Traitement et exploitation des données : possibilité d’extraire les données de chaque détecteur, calcul de l’aire sous les pics chromatographiques afin de pouvoir faire une courbe d’étalonnage      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</w:rPr>
              <w:t>oui/non</w:t>
            </w:r>
          </w:p>
          <w:p w:rsidR="0055311B" w:rsidRDefault="0055311B">
            <w:pPr>
              <w:pStyle w:val="Sansinterligne"/>
              <w:ind w:hanging="14"/>
              <w:rPr>
                <w:i/>
                <w:iCs/>
              </w:rPr>
            </w:pPr>
          </w:p>
          <w:p w:rsidR="0055311B" w:rsidRDefault="00D10CD1">
            <w:pPr>
              <w:pStyle w:val="Sansinterligne"/>
              <w:ind w:hanging="14"/>
              <w:rPr>
                <w:i/>
                <w:iCs/>
              </w:rPr>
            </w:pPr>
            <w:r>
              <w:rPr>
                <w:i/>
                <w:iCs/>
              </w:rPr>
              <w:t>Types d’extension disponibles (</w:t>
            </w:r>
            <w:proofErr w:type="spellStart"/>
            <w:r>
              <w:rPr>
                <w:i/>
                <w:iCs/>
              </w:rPr>
              <w:t>txt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xls</w:t>
            </w:r>
            <w:proofErr w:type="spellEnd"/>
            <w:r>
              <w:rPr>
                <w:i/>
                <w:iCs/>
              </w:rPr>
              <w:t>, etc.) :</w:t>
            </w:r>
          </w:p>
          <w:p w:rsidR="0055311B" w:rsidRDefault="0055311B">
            <w:pPr>
              <w:pStyle w:val="Sansinterligne"/>
              <w:ind w:left="-14"/>
              <w:rPr>
                <w:i/>
                <w:iCs/>
              </w:rPr>
            </w:pPr>
          </w:p>
        </w:tc>
      </w:tr>
      <w:tr w:rsidR="0055311B">
        <w:trPr>
          <w:trHeight w:val="1696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Facilité de maintenance 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9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i/>
                <w:lang w:eastAsia="ar-SA"/>
              </w:rPr>
            </w:pPr>
            <w:r>
              <w:rPr>
                <w:i/>
                <w:lang w:eastAsia="ar-SA"/>
              </w:rPr>
              <w:t xml:space="preserve">Possibilité à l’opérateur de faire la maintenance lui-même. Si oui, quelles taches et lesquelles doivent obligatoirement réalisées par le technicien de </w:t>
            </w:r>
            <w:r w:rsidR="00730A53">
              <w:rPr>
                <w:i/>
                <w:lang w:eastAsia="ar-SA"/>
              </w:rPr>
              <w:t>maintenance :</w:t>
            </w:r>
            <w:r>
              <w:rPr>
                <w:i/>
                <w:lang w:eastAsia="ar-SA"/>
              </w:rPr>
              <w:t xml:space="preserve"> </w:t>
            </w:r>
          </w:p>
          <w:p w:rsidR="0055311B" w:rsidRDefault="0055311B">
            <w:pPr>
              <w:pStyle w:val="Sansinterligne"/>
              <w:rPr>
                <w:i/>
                <w:lang w:eastAsia="ar-SA"/>
              </w:rPr>
            </w:pPr>
          </w:p>
          <w:p w:rsidR="0055311B" w:rsidRDefault="0055311B">
            <w:pPr>
              <w:pStyle w:val="Sansinterligne"/>
              <w:rPr>
                <w:i/>
                <w:lang w:eastAsia="ar-SA"/>
              </w:rPr>
            </w:pPr>
          </w:p>
          <w:p w:rsidR="0055311B" w:rsidRDefault="0055311B">
            <w:pPr>
              <w:pStyle w:val="Sansinterligne"/>
              <w:rPr>
                <w:i/>
                <w:lang w:eastAsia="ar-SA"/>
              </w:rPr>
            </w:pPr>
          </w:p>
          <w:p w:rsidR="0055311B" w:rsidRDefault="00D10CD1">
            <w:pPr>
              <w:pStyle w:val="Sansinterligne"/>
              <w:rPr>
                <w:i/>
                <w:lang w:eastAsia="ar-SA"/>
              </w:rPr>
            </w:pPr>
            <w:r>
              <w:rPr>
                <w:i/>
                <w:lang w:eastAsia="ar-SA"/>
              </w:rPr>
              <w:t>Accessibilité des pièces à changer. Si non, lesquelles ne sont pas accessible et nécessité l’intervention du technicien :</w:t>
            </w: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D10CD1">
            <w:pPr>
              <w:pStyle w:val="Sansinterligne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Disponibilité des pièces de rechanges (années):</w:t>
            </w:r>
          </w:p>
          <w:p w:rsidR="0055311B" w:rsidRDefault="0055311B">
            <w:pPr>
              <w:pStyle w:val="Sansinterligne"/>
              <w:rPr>
                <w:i/>
                <w:iCs/>
                <w:lang w:eastAsia="ar-SA"/>
              </w:rPr>
            </w:pPr>
          </w:p>
          <w:p w:rsidR="0055311B" w:rsidRDefault="0055311B">
            <w:pPr>
              <w:pStyle w:val="Sansinterligne"/>
              <w:rPr>
                <w:i/>
                <w:iCs/>
                <w:lang w:eastAsia="ar-SA"/>
              </w:rPr>
            </w:pPr>
          </w:p>
          <w:p w:rsidR="0055311B" w:rsidRDefault="0055311B">
            <w:pPr>
              <w:pStyle w:val="Sansinterligne"/>
              <w:rPr>
                <w:i/>
                <w:iCs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Formation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</w:t>
            </w:r>
          </w:p>
        </w:tc>
        <w:tc>
          <w:tcPr>
            <w:tcW w:w="845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lang w:eastAsia="ar-SA"/>
              </w:rPr>
            </w:pPr>
            <w:r>
              <w:rPr>
                <w:i/>
                <w:lang w:eastAsia="ar-SA"/>
              </w:rPr>
              <w:t>Contenu de la formation</w:t>
            </w:r>
            <w:r>
              <w:rPr>
                <w:lang w:eastAsia="ar-SA"/>
              </w:rPr>
              <w:t> :</w:t>
            </w: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55311B">
            <w:pPr>
              <w:pStyle w:val="Sansinterligne"/>
              <w:rPr>
                <w:lang w:eastAsia="ar-SA"/>
              </w:rPr>
            </w:pPr>
          </w:p>
          <w:p w:rsidR="0055311B" w:rsidRDefault="00D10CD1">
            <w:pPr>
              <w:pStyle w:val="Sansinterligne"/>
              <w:rPr>
                <w:lang w:eastAsia="ar-SA"/>
              </w:rPr>
            </w:pPr>
            <w:r>
              <w:rPr>
                <w:i/>
                <w:lang w:eastAsia="ar-SA"/>
              </w:rPr>
              <w:t xml:space="preserve">Durée de la </w:t>
            </w:r>
            <w:r>
              <w:rPr>
                <w:i/>
                <w:lang w:eastAsia="ar-SA"/>
              </w:rPr>
              <w:t>formation</w:t>
            </w:r>
            <w:r>
              <w:rPr>
                <w:lang w:eastAsia="ar-SA"/>
              </w:rPr>
              <w:t> :</w:t>
            </w:r>
          </w:p>
        </w:tc>
      </w:tr>
    </w:tbl>
    <w:p w:rsidR="0055311B" w:rsidRDefault="0055311B">
      <w:pPr>
        <w:pStyle w:val="Paragraphedeliste"/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:rsidR="0055311B" w:rsidRDefault="0055311B">
      <w:pPr>
        <w:pStyle w:val="Paragraphedeliste"/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:rsidR="0055311B" w:rsidRDefault="0055311B">
      <w:pPr>
        <w:pStyle w:val="Paragraphedeliste"/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:rsidR="0055311B" w:rsidRDefault="0055311B">
      <w:pPr>
        <w:pStyle w:val="Paragraphedeliste"/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:rsidR="0055311B" w:rsidRDefault="0055311B">
      <w:pPr>
        <w:pStyle w:val="Paragraphedeliste"/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:rsidR="0055311B" w:rsidRDefault="00D10CD1">
      <w:pPr>
        <w:pStyle w:val="Paragraphedeliste"/>
        <w:widowControl w:val="0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lastRenderedPageBreak/>
        <w:t xml:space="preserve">Qualité du SAV : 8 % </w:t>
      </w:r>
    </w:p>
    <w:tbl>
      <w:tblPr>
        <w:tblW w:w="14713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4915"/>
        <w:gridCol w:w="1342"/>
        <w:gridCol w:w="8456"/>
      </w:tblGrid>
      <w:tr w:rsidR="0055311B">
        <w:trPr>
          <w:trHeight w:val="488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Pondération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5311B">
        <w:trPr>
          <w:trHeight w:val="637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</w:pPr>
            <w:r>
              <w:rPr>
                <w:rFonts w:cs="Arial"/>
                <w:bCs/>
                <w:color w:val="auto"/>
              </w:rPr>
              <w:t>Modalité de la garantie :</w:t>
            </w:r>
            <w:r>
              <w:rPr>
                <w:rFonts w:cs="Arial"/>
                <w:iCs/>
                <w:color w:val="auto"/>
              </w:rPr>
              <w:t xml:space="preserve"> (ex : sur site / retour atelier)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color w:val="auto"/>
              </w:rPr>
            </w:pPr>
            <w:r>
              <w:rPr>
                <w:color w:val="auto"/>
              </w:rPr>
              <w:t>Délai d’intervention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Support technique proposé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spacing w:after="0" w:line="240" w:lineRule="auto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 xml:space="preserve">Durée de disponibilité des pièces </w:t>
            </w:r>
            <w:r>
              <w:rPr>
                <w:rFonts w:cs="Arial"/>
                <w:bCs/>
                <w:color w:val="auto"/>
              </w:rPr>
              <w:t>détachées après l'achat des prestations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  <w:tr w:rsidR="0055311B">
        <w:trPr>
          <w:trHeight w:val="634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spacing w:after="0" w:line="240" w:lineRule="auto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Durée sur laquelle le fournisseur s'engage à effectuer des réparations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  <w:tr w:rsidR="0055311B">
        <w:trPr>
          <w:trHeight w:val="592"/>
        </w:trPr>
        <w:tc>
          <w:tcPr>
            <w:tcW w:w="491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CF7839">
            <w:pPr>
              <w:spacing w:after="0" w:line="240" w:lineRule="auto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Durée de la garantie (1 an minimum)</w:t>
            </w:r>
          </w:p>
        </w:tc>
        <w:tc>
          <w:tcPr>
            <w:tcW w:w="134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845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</w:tbl>
    <w:p w:rsidR="0055311B" w:rsidRDefault="0055311B">
      <w:pPr>
        <w:rPr>
          <w:rFonts w:ascii="Arial Narrow" w:hAnsi="Arial Narrow" w:cs="Times New Roman"/>
        </w:rPr>
      </w:pPr>
    </w:p>
    <w:p w:rsidR="0055311B" w:rsidRDefault="0055311B">
      <w:pPr>
        <w:rPr>
          <w:rFonts w:ascii="Arial Narrow" w:hAnsi="Arial Narrow" w:cs="Times New Roman"/>
        </w:rPr>
      </w:pPr>
    </w:p>
    <w:p w:rsidR="0055311B" w:rsidRDefault="0055311B">
      <w:pPr>
        <w:rPr>
          <w:rFonts w:ascii="Arial Narrow" w:hAnsi="Arial Narrow" w:cs="Times New Roman"/>
        </w:rPr>
      </w:pPr>
    </w:p>
    <w:p w:rsidR="0055311B" w:rsidRDefault="00D10CD1">
      <w:pPr>
        <w:pStyle w:val="Paragraphedeliste"/>
        <w:widowControl w:val="0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t xml:space="preserve">Prix : 39 % </w:t>
      </w:r>
    </w:p>
    <w:tbl>
      <w:tblPr>
        <w:tblW w:w="14713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4933"/>
        <w:gridCol w:w="1282"/>
        <w:gridCol w:w="8498"/>
      </w:tblGrid>
      <w:tr w:rsidR="0055311B">
        <w:trPr>
          <w:trHeight w:val="634"/>
        </w:trPr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rPr>
                <w:color w:val="auto"/>
              </w:rPr>
            </w:pPr>
            <w:r>
              <w:rPr>
                <w:color w:val="auto"/>
              </w:rPr>
              <w:t>Prix (sans PSE)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D10CD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39</w:t>
            </w:r>
          </w:p>
        </w:tc>
        <w:tc>
          <w:tcPr>
            <w:tcW w:w="8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5311B" w:rsidRDefault="0055311B">
            <w:pPr>
              <w:pStyle w:val="Sansinterligne"/>
              <w:rPr>
                <w:b/>
                <w:u w:val="single"/>
                <w:lang w:eastAsia="ar-SA"/>
              </w:rPr>
            </w:pPr>
          </w:p>
        </w:tc>
      </w:tr>
    </w:tbl>
    <w:p w:rsidR="0055311B" w:rsidRDefault="0055311B">
      <w:pPr>
        <w:rPr>
          <w:rFonts w:ascii="Arial Narrow" w:hAnsi="Arial Narrow" w:cs="Times New Roman"/>
        </w:rPr>
      </w:pPr>
    </w:p>
    <w:p w:rsidR="0055311B" w:rsidRDefault="00D10CD1">
      <w:r>
        <w:rPr>
          <w:rFonts w:ascii="Arial Narrow" w:hAnsi="Arial Narrow" w:cs="Times New Roman"/>
        </w:rPr>
        <w:t xml:space="preserve">Date, cachet de la société et signature de la personne habilitée à engager la société : </w:t>
      </w:r>
    </w:p>
    <w:sectPr w:rsidR="0055311B">
      <w:headerReference w:type="default" r:id="rId8"/>
      <w:footerReference w:type="default" r:id="rId9"/>
      <w:pgSz w:w="16838" w:h="11906" w:orient="landscape"/>
      <w:pgMar w:top="1417" w:right="1417" w:bottom="1170" w:left="1417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2B1" w:rsidRDefault="002922B1">
      <w:pPr>
        <w:spacing w:after="0" w:line="240" w:lineRule="auto"/>
      </w:pPr>
      <w:r>
        <w:separator/>
      </w:r>
    </w:p>
  </w:endnote>
  <w:endnote w:type="continuationSeparator" w:id="0">
    <w:p w:rsidR="002922B1" w:rsidRDefault="0029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auto"/>
    <w:pitch w:val="default"/>
  </w:font>
  <w:font w:name="Droid Sans Fallback">
    <w:altName w:val="Times New Roman"/>
    <w:charset w:val="00"/>
    <w:family w:val="auto"/>
    <w:pitch w:val="default"/>
  </w:font>
  <w:font w:name="FreeSans">
    <w:altName w:val="Arial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11B" w:rsidRDefault="00D10CD1">
    <w:pPr>
      <w:jc w:val="center"/>
      <w:rPr>
        <w:rFonts w:ascii="Times New Roman" w:hAnsi="Times New Roman" w:cs="Times New Roman"/>
        <w:bCs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Cadre de réponse technique – </w:t>
    </w:r>
    <w:r>
      <w:rPr>
        <w:rFonts w:ascii="Times New Roman" w:hAnsi="Times New Roman" w:cs="Times New Roman"/>
        <w:bCs/>
        <w:sz w:val="16"/>
        <w:szCs w:val="16"/>
      </w:rPr>
      <w:t>Chromatographie préparative en phase liquide</w:t>
    </w:r>
  </w:p>
  <w:p w:rsidR="0055311B" w:rsidRDefault="00D10CD1">
    <w:pPr>
      <w:pStyle w:val="Pieddepage"/>
      <w:ind w:right="360"/>
      <w:jc w:val="right"/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</w:p>
  <w:p w:rsidR="0055311B" w:rsidRDefault="0055311B">
    <w:pPr>
      <w:pStyle w:val="Pieddepage"/>
    </w:pPr>
  </w:p>
  <w:p w:rsidR="0055311B" w:rsidRDefault="0055311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2B1" w:rsidRDefault="002922B1">
      <w:pPr>
        <w:spacing w:after="0" w:line="240" w:lineRule="auto"/>
      </w:pPr>
      <w:r>
        <w:separator/>
      </w:r>
    </w:p>
  </w:footnote>
  <w:footnote w:type="continuationSeparator" w:id="0">
    <w:p w:rsidR="002922B1" w:rsidRDefault="0029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11B" w:rsidRDefault="00D10CD1">
    <w:pPr>
      <w:spacing w:after="0" w:line="240" w:lineRule="auto"/>
      <w:ind w:firstLine="1260"/>
      <w:jc w:val="center"/>
      <w:rPr>
        <w:rFonts w:ascii="Arial Narrow" w:hAnsi="Arial Narrow" w:cs="Times New Roman"/>
        <w:b/>
        <w:bCs/>
        <w:sz w:val="32"/>
        <w:szCs w:val="32"/>
        <w:u w:val="single"/>
      </w:rPr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12065</wp:posOffset>
              </wp:positionV>
              <wp:extent cx="676656" cy="649224"/>
              <wp:effectExtent l="0" t="0" r="9525" b="0"/>
              <wp:wrapSquare wrapText="bothSides"/>
              <wp:docPr id="1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3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76656" cy="6492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margin;mso-position-horizontal:left;mso-position-vertical-relative:text;margin-top:0.9pt;mso-position-vertical:absolute;width:53.3pt;height:51.1pt;mso-wrap-distance-left:9.0pt;mso-wrap-distance-top:0.0pt;mso-wrap-distance-right:9.0pt;mso-wrap-distance-bottom:0.0pt;" stroked="false">
              <v:path textboxrect="0,0,0,0"/>
              <w10:wrap type="square"/>
              <v:imagedata r:id="rId2" o:title=""/>
            </v:shape>
          </w:pict>
        </mc:Fallback>
      </mc:AlternateContent>
    </w:r>
    <w:r>
      <w:rPr>
        <w:rFonts w:ascii="Arial Narrow" w:hAnsi="Arial Narrow" w:cs="Times New Roman"/>
        <w:b/>
        <w:bCs/>
        <w:sz w:val="32"/>
        <w:szCs w:val="32"/>
        <w:u w:val="single"/>
      </w:rPr>
      <w:t>«</w:t>
    </w:r>
    <w:r>
      <w:rPr>
        <w:rFonts w:ascii="Arial Narrow" w:hAnsi="Arial Narrow"/>
        <w:b/>
        <w:bCs/>
        <w:sz w:val="32"/>
        <w:u w:val="single"/>
        <w:lang w:eastAsia="ar-SA"/>
      </w:rPr>
      <w:t>Fourniture</w:t>
    </w:r>
    <w:r>
      <w:rPr>
        <w:rFonts w:ascii="Arial Narrow" w:hAnsi="Arial Narrow"/>
        <w:b/>
        <w:bCs/>
        <w:sz w:val="32"/>
        <w:u w:val="single"/>
        <w:lang w:eastAsia="ar-SA"/>
      </w:rPr>
      <w:t xml:space="preserve">, livraison, installation, mise en service et formation à l’utilisation d’une chromatographie préparative en phase liquide </w:t>
    </w:r>
    <w:r>
      <w:rPr>
        <w:rFonts w:ascii="Arial Narrow" w:hAnsi="Arial Narrow" w:cs="Times New Roman"/>
        <w:b/>
        <w:bCs/>
        <w:sz w:val="32"/>
        <w:szCs w:val="32"/>
        <w:u w:val="single"/>
      </w:rPr>
      <w:t>» - PUMA n°</w:t>
    </w:r>
    <w:r w:rsidR="00730A53">
      <w:rPr>
        <w:rFonts w:ascii="Arial Narrow" w:hAnsi="Arial Narrow" w:cs="Times New Roman"/>
        <w:b/>
        <w:bCs/>
        <w:sz w:val="32"/>
        <w:szCs w:val="32"/>
        <w:u w:val="single"/>
      </w:rPr>
      <w:t>2500117</w:t>
    </w:r>
    <w:r>
      <w:rPr>
        <w:rFonts w:ascii="Arial Narrow" w:hAnsi="Arial Narrow" w:cs="Times New Roman"/>
        <w:b/>
        <w:bCs/>
        <w:sz w:val="32"/>
        <w:szCs w:val="32"/>
        <w:u w:val="single"/>
      </w:rPr>
      <w:t xml:space="preserve"> </w:t>
    </w:r>
  </w:p>
  <w:p w:rsidR="0055311B" w:rsidRDefault="00D10CD1">
    <w:pPr>
      <w:spacing w:after="0" w:line="240" w:lineRule="auto"/>
      <w:jc w:val="center"/>
      <w:rPr>
        <w:rFonts w:ascii="Arial Narrow" w:hAnsi="Arial Narrow" w:cs="Times New Roman"/>
        <w:bCs/>
        <w:sz w:val="24"/>
        <w:szCs w:val="32"/>
      </w:rPr>
    </w:pPr>
    <w:r>
      <w:rPr>
        <w:rFonts w:ascii="Arial Narrow" w:hAnsi="Arial Narrow" w:cs="Times New Roman"/>
        <w:bCs/>
        <w:sz w:val="24"/>
        <w:szCs w:val="32"/>
      </w:rPr>
      <w:t>Institut Charles Sadron (ICS)</w:t>
    </w:r>
  </w:p>
  <w:p w:rsidR="0055311B" w:rsidRDefault="0055311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900"/>
    <w:multiLevelType w:val="hybridMultilevel"/>
    <w:tmpl w:val="CB806228"/>
    <w:lvl w:ilvl="0" w:tplc="FCEC81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6043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CEF6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84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CA3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0ABA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E37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66F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468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1D39"/>
    <w:multiLevelType w:val="hybridMultilevel"/>
    <w:tmpl w:val="70341614"/>
    <w:lvl w:ilvl="0" w:tplc="771CD7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50AE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EEB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617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5AAF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4A86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A6E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05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00C0E"/>
    <w:multiLevelType w:val="hybridMultilevel"/>
    <w:tmpl w:val="4E44DE60"/>
    <w:lvl w:ilvl="0" w:tplc="B5BEC3A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57C35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05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6A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6FD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F027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84B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EABE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024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B7A78"/>
    <w:multiLevelType w:val="hybridMultilevel"/>
    <w:tmpl w:val="1F6AAD42"/>
    <w:lvl w:ilvl="0" w:tplc="4EFA363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4CADD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CA3D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A9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D688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DE0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D418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204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22A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61562"/>
    <w:multiLevelType w:val="hybridMultilevel"/>
    <w:tmpl w:val="F1A00ED0"/>
    <w:lvl w:ilvl="0" w:tplc="8CB45D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788E61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257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4F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8BD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EE9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2A8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6A31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1CD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846CF"/>
    <w:multiLevelType w:val="hybridMultilevel"/>
    <w:tmpl w:val="8230CDD4"/>
    <w:lvl w:ilvl="0" w:tplc="C58AFA9E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sz w:val="8"/>
      </w:rPr>
    </w:lvl>
    <w:lvl w:ilvl="1" w:tplc="053880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9C32D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0660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7E618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CF14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BCA7E4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A8026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38E8C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DB6C52"/>
    <w:multiLevelType w:val="hybridMultilevel"/>
    <w:tmpl w:val="A8B83654"/>
    <w:lvl w:ilvl="0" w:tplc="8B9ECC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F6A29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237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83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25C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20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FB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04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F010F"/>
    <w:multiLevelType w:val="hybridMultilevel"/>
    <w:tmpl w:val="AEC2FB24"/>
    <w:lvl w:ilvl="0" w:tplc="3A6829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FBEA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0E80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674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4D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AD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27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C63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201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33556"/>
    <w:multiLevelType w:val="hybridMultilevel"/>
    <w:tmpl w:val="B47C9FDA"/>
    <w:lvl w:ilvl="0" w:tplc="D8E8C6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8EA53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E3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785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C0D1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E9D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AAC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C82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5CEF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671F1"/>
    <w:multiLevelType w:val="hybridMultilevel"/>
    <w:tmpl w:val="FB72D588"/>
    <w:lvl w:ilvl="0" w:tplc="7A3A7A58">
      <w:start w:val="1"/>
      <w:numFmt w:val="decimal"/>
      <w:lvlText w:val="%1."/>
      <w:lvlJc w:val="left"/>
      <w:pPr>
        <w:ind w:left="720" w:hanging="360"/>
      </w:pPr>
    </w:lvl>
    <w:lvl w:ilvl="1" w:tplc="15BACA14">
      <w:start w:val="1"/>
      <w:numFmt w:val="lowerLetter"/>
      <w:lvlText w:val="%2."/>
      <w:lvlJc w:val="left"/>
      <w:pPr>
        <w:ind w:left="1440" w:hanging="360"/>
      </w:pPr>
    </w:lvl>
    <w:lvl w:ilvl="2" w:tplc="0FC41DF2">
      <w:start w:val="1"/>
      <w:numFmt w:val="lowerRoman"/>
      <w:lvlText w:val="%3."/>
      <w:lvlJc w:val="right"/>
      <w:pPr>
        <w:ind w:left="2160" w:hanging="180"/>
      </w:pPr>
    </w:lvl>
    <w:lvl w:ilvl="3" w:tplc="11600206">
      <w:start w:val="1"/>
      <w:numFmt w:val="decimal"/>
      <w:lvlText w:val="%4."/>
      <w:lvlJc w:val="left"/>
      <w:pPr>
        <w:ind w:left="2880" w:hanging="360"/>
      </w:pPr>
    </w:lvl>
    <w:lvl w:ilvl="4" w:tplc="23947118">
      <w:start w:val="1"/>
      <w:numFmt w:val="lowerLetter"/>
      <w:lvlText w:val="%5."/>
      <w:lvlJc w:val="left"/>
      <w:pPr>
        <w:ind w:left="3600" w:hanging="360"/>
      </w:pPr>
    </w:lvl>
    <w:lvl w:ilvl="5" w:tplc="060C7550">
      <w:start w:val="1"/>
      <w:numFmt w:val="lowerRoman"/>
      <w:lvlText w:val="%6."/>
      <w:lvlJc w:val="right"/>
      <w:pPr>
        <w:ind w:left="4320" w:hanging="180"/>
      </w:pPr>
    </w:lvl>
    <w:lvl w:ilvl="6" w:tplc="00A4123C">
      <w:start w:val="1"/>
      <w:numFmt w:val="decimal"/>
      <w:lvlText w:val="%7."/>
      <w:lvlJc w:val="left"/>
      <w:pPr>
        <w:ind w:left="5040" w:hanging="360"/>
      </w:pPr>
    </w:lvl>
    <w:lvl w:ilvl="7" w:tplc="CB809F5E">
      <w:start w:val="1"/>
      <w:numFmt w:val="lowerLetter"/>
      <w:lvlText w:val="%8."/>
      <w:lvlJc w:val="left"/>
      <w:pPr>
        <w:ind w:left="5760" w:hanging="360"/>
      </w:pPr>
    </w:lvl>
    <w:lvl w:ilvl="8" w:tplc="432ED1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65ECF"/>
    <w:multiLevelType w:val="hybridMultilevel"/>
    <w:tmpl w:val="11EAA328"/>
    <w:lvl w:ilvl="0" w:tplc="E6F04CA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20CB9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E6E8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E1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81C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CAA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6E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E3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544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A2872"/>
    <w:multiLevelType w:val="hybridMultilevel"/>
    <w:tmpl w:val="9E96891A"/>
    <w:lvl w:ilvl="0" w:tplc="15E201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EF3A24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A68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5425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4612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2E9B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AF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C05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03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D2A88"/>
    <w:multiLevelType w:val="hybridMultilevel"/>
    <w:tmpl w:val="BA26DB96"/>
    <w:lvl w:ilvl="0" w:tplc="ADFE933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BCAD3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A418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281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82C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0D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43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340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A26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50D"/>
    <w:multiLevelType w:val="hybridMultilevel"/>
    <w:tmpl w:val="DCA4240E"/>
    <w:lvl w:ilvl="0" w:tplc="A1B2D08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BB682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E48C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97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360A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4CE4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40F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05C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01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26FB8"/>
    <w:multiLevelType w:val="hybridMultilevel"/>
    <w:tmpl w:val="5CEA053C"/>
    <w:lvl w:ilvl="0" w:tplc="354E698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AEC8DF7C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5B54FA6A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475AC310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F0AA34FA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C6CE70C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7B0FC98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F162BC2C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8988B09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440210D"/>
    <w:multiLevelType w:val="hybridMultilevel"/>
    <w:tmpl w:val="4CC0D36A"/>
    <w:lvl w:ilvl="0" w:tplc="03E488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1CED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8A0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82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2D3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425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82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102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440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63890"/>
    <w:multiLevelType w:val="hybridMultilevel"/>
    <w:tmpl w:val="3176F854"/>
    <w:lvl w:ilvl="0" w:tplc="44E20264">
      <w:start w:val="1"/>
      <w:numFmt w:val="decimal"/>
      <w:lvlText w:val="%1."/>
      <w:lvlJc w:val="left"/>
      <w:pPr>
        <w:ind w:left="720" w:hanging="360"/>
      </w:pPr>
    </w:lvl>
    <w:lvl w:ilvl="1" w:tplc="0682E42A">
      <w:start w:val="1"/>
      <w:numFmt w:val="lowerLetter"/>
      <w:lvlText w:val="%2."/>
      <w:lvlJc w:val="left"/>
      <w:pPr>
        <w:ind w:left="1440" w:hanging="360"/>
      </w:pPr>
    </w:lvl>
    <w:lvl w:ilvl="2" w:tplc="A294B334">
      <w:start w:val="1"/>
      <w:numFmt w:val="lowerRoman"/>
      <w:lvlText w:val="%3."/>
      <w:lvlJc w:val="right"/>
      <w:pPr>
        <w:ind w:left="2160" w:hanging="180"/>
      </w:pPr>
    </w:lvl>
    <w:lvl w:ilvl="3" w:tplc="5B147F72">
      <w:start w:val="1"/>
      <w:numFmt w:val="decimal"/>
      <w:lvlText w:val="%4."/>
      <w:lvlJc w:val="left"/>
      <w:pPr>
        <w:ind w:left="2880" w:hanging="360"/>
      </w:pPr>
    </w:lvl>
    <w:lvl w:ilvl="4" w:tplc="A41C43AA">
      <w:start w:val="1"/>
      <w:numFmt w:val="lowerLetter"/>
      <w:lvlText w:val="%5."/>
      <w:lvlJc w:val="left"/>
      <w:pPr>
        <w:ind w:left="3600" w:hanging="360"/>
      </w:pPr>
    </w:lvl>
    <w:lvl w:ilvl="5" w:tplc="448AB18E">
      <w:start w:val="1"/>
      <w:numFmt w:val="lowerRoman"/>
      <w:lvlText w:val="%6."/>
      <w:lvlJc w:val="right"/>
      <w:pPr>
        <w:ind w:left="4320" w:hanging="180"/>
      </w:pPr>
    </w:lvl>
    <w:lvl w:ilvl="6" w:tplc="259C3714">
      <w:start w:val="1"/>
      <w:numFmt w:val="decimal"/>
      <w:lvlText w:val="%7."/>
      <w:lvlJc w:val="left"/>
      <w:pPr>
        <w:ind w:left="5040" w:hanging="360"/>
      </w:pPr>
    </w:lvl>
    <w:lvl w:ilvl="7" w:tplc="802A3476">
      <w:start w:val="1"/>
      <w:numFmt w:val="lowerLetter"/>
      <w:lvlText w:val="%8."/>
      <w:lvlJc w:val="left"/>
      <w:pPr>
        <w:ind w:left="5760" w:hanging="360"/>
      </w:pPr>
    </w:lvl>
    <w:lvl w:ilvl="8" w:tplc="F104CDD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C2E29"/>
    <w:multiLevelType w:val="hybridMultilevel"/>
    <w:tmpl w:val="15CA5A2A"/>
    <w:lvl w:ilvl="0" w:tplc="905EE24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C269B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8A1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A8F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24B0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167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F06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6A1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F61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A6BFD"/>
    <w:multiLevelType w:val="hybridMultilevel"/>
    <w:tmpl w:val="4E860502"/>
    <w:lvl w:ilvl="0" w:tplc="8864CB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A6664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0AD7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2B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A4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8D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470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CC3C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85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01DA1"/>
    <w:multiLevelType w:val="hybridMultilevel"/>
    <w:tmpl w:val="DB665B2C"/>
    <w:lvl w:ilvl="0" w:tplc="256646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BA23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5ED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88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4A2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1EF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43B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E2B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C2B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F205A"/>
    <w:multiLevelType w:val="hybridMultilevel"/>
    <w:tmpl w:val="CDBC1B46"/>
    <w:lvl w:ilvl="0" w:tplc="CED09A2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EFE8D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A0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6A1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38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0A95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3AB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B8BF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A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E6D1A"/>
    <w:multiLevelType w:val="hybridMultilevel"/>
    <w:tmpl w:val="96D0392C"/>
    <w:lvl w:ilvl="0" w:tplc="C10698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87C3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02A0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80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ED4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06D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8CA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803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E9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B70BC"/>
    <w:multiLevelType w:val="hybridMultilevel"/>
    <w:tmpl w:val="42E82308"/>
    <w:lvl w:ilvl="0" w:tplc="5E2AD14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2527C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81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6A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EAE2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44B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E6CD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AFF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0A2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61183A"/>
    <w:multiLevelType w:val="hybridMultilevel"/>
    <w:tmpl w:val="3A7E802C"/>
    <w:lvl w:ilvl="0" w:tplc="B352C956">
      <w:start w:val="1"/>
      <w:numFmt w:val="bullet"/>
      <w:lvlText w:val=""/>
      <w:lvlJc w:val="left"/>
      <w:pPr>
        <w:ind w:left="1425" w:hanging="360"/>
      </w:pPr>
      <w:rPr>
        <w:rFonts w:ascii="Symbol" w:eastAsiaTheme="minorHAnsi" w:hAnsi="Symbol" w:cstheme="minorBidi" w:hint="default"/>
      </w:rPr>
    </w:lvl>
    <w:lvl w:ilvl="1" w:tplc="9E849EB0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64BAB94C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A3A8E7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33AD300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5CB2A9D6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1512C08C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5A609D2A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E348C54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7C052F98"/>
    <w:multiLevelType w:val="hybridMultilevel"/>
    <w:tmpl w:val="4960761E"/>
    <w:lvl w:ilvl="0" w:tplc="BB1CC328">
      <w:start w:val="1"/>
      <w:numFmt w:val="decimal"/>
      <w:lvlText w:val="%1."/>
      <w:lvlJc w:val="left"/>
      <w:pPr>
        <w:ind w:left="720" w:hanging="360"/>
      </w:pPr>
    </w:lvl>
    <w:lvl w:ilvl="1" w:tplc="79065E96">
      <w:start w:val="1"/>
      <w:numFmt w:val="lowerLetter"/>
      <w:lvlText w:val="%2."/>
      <w:lvlJc w:val="left"/>
      <w:pPr>
        <w:ind w:left="1440" w:hanging="360"/>
      </w:pPr>
    </w:lvl>
    <w:lvl w:ilvl="2" w:tplc="0F2A1A12">
      <w:start w:val="1"/>
      <w:numFmt w:val="lowerRoman"/>
      <w:lvlText w:val="%3."/>
      <w:lvlJc w:val="right"/>
      <w:pPr>
        <w:ind w:left="2160" w:hanging="180"/>
      </w:pPr>
    </w:lvl>
    <w:lvl w:ilvl="3" w:tplc="9A7E76F6">
      <w:start w:val="1"/>
      <w:numFmt w:val="decimal"/>
      <w:lvlText w:val="%4."/>
      <w:lvlJc w:val="left"/>
      <w:pPr>
        <w:ind w:left="2880" w:hanging="360"/>
      </w:pPr>
    </w:lvl>
    <w:lvl w:ilvl="4" w:tplc="58F88538">
      <w:start w:val="1"/>
      <w:numFmt w:val="lowerLetter"/>
      <w:lvlText w:val="%5."/>
      <w:lvlJc w:val="left"/>
      <w:pPr>
        <w:ind w:left="3600" w:hanging="360"/>
      </w:pPr>
    </w:lvl>
    <w:lvl w:ilvl="5" w:tplc="40E87FC2">
      <w:start w:val="1"/>
      <w:numFmt w:val="lowerRoman"/>
      <w:lvlText w:val="%6."/>
      <w:lvlJc w:val="right"/>
      <w:pPr>
        <w:ind w:left="4320" w:hanging="180"/>
      </w:pPr>
    </w:lvl>
    <w:lvl w:ilvl="6" w:tplc="9CA052D4">
      <w:start w:val="1"/>
      <w:numFmt w:val="decimal"/>
      <w:lvlText w:val="%7."/>
      <w:lvlJc w:val="left"/>
      <w:pPr>
        <w:ind w:left="5040" w:hanging="360"/>
      </w:pPr>
    </w:lvl>
    <w:lvl w:ilvl="7" w:tplc="1D0CD268">
      <w:start w:val="1"/>
      <w:numFmt w:val="lowerLetter"/>
      <w:lvlText w:val="%8."/>
      <w:lvlJc w:val="left"/>
      <w:pPr>
        <w:ind w:left="5760" w:hanging="360"/>
      </w:pPr>
    </w:lvl>
    <w:lvl w:ilvl="8" w:tplc="977E574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047CA"/>
    <w:multiLevelType w:val="hybridMultilevel"/>
    <w:tmpl w:val="BF0CBAFE"/>
    <w:lvl w:ilvl="0" w:tplc="28408E7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E6AD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61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9A2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A2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4F5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44C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6E6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CA7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41E17"/>
    <w:multiLevelType w:val="hybridMultilevel"/>
    <w:tmpl w:val="422E3EF8"/>
    <w:lvl w:ilvl="0" w:tplc="3E5CC1A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BDE32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C8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891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875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564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67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67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81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24"/>
  </w:num>
  <w:num w:numId="5">
    <w:abstractNumId w:val="0"/>
  </w:num>
  <w:num w:numId="6">
    <w:abstractNumId w:val="20"/>
  </w:num>
  <w:num w:numId="7">
    <w:abstractNumId w:val="17"/>
  </w:num>
  <w:num w:numId="8">
    <w:abstractNumId w:val="26"/>
  </w:num>
  <w:num w:numId="9">
    <w:abstractNumId w:val="6"/>
  </w:num>
  <w:num w:numId="10">
    <w:abstractNumId w:val="13"/>
  </w:num>
  <w:num w:numId="11">
    <w:abstractNumId w:val="15"/>
  </w:num>
  <w:num w:numId="12">
    <w:abstractNumId w:val="12"/>
  </w:num>
  <w:num w:numId="13">
    <w:abstractNumId w:val="22"/>
  </w:num>
  <w:num w:numId="14">
    <w:abstractNumId w:val="10"/>
  </w:num>
  <w:num w:numId="15">
    <w:abstractNumId w:val="25"/>
  </w:num>
  <w:num w:numId="16">
    <w:abstractNumId w:val="3"/>
  </w:num>
  <w:num w:numId="17">
    <w:abstractNumId w:val="8"/>
  </w:num>
  <w:num w:numId="18">
    <w:abstractNumId w:val="4"/>
  </w:num>
  <w:num w:numId="19">
    <w:abstractNumId w:val="11"/>
  </w:num>
  <w:num w:numId="20">
    <w:abstractNumId w:val="1"/>
  </w:num>
  <w:num w:numId="21">
    <w:abstractNumId w:val="18"/>
  </w:num>
  <w:num w:numId="22">
    <w:abstractNumId w:val="23"/>
  </w:num>
  <w:num w:numId="23">
    <w:abstractNumId w:val="7"/>
  </w:num>
  <w:num w:numId="24">
    <w:abstractNumId w:val="21"/>
  </w:num>
  <w:num w:numId="25">
    <w:abstractNumId w:val="16"/>
  </w:num>
  <w:num w:numId="26">
    <w:abstractNumId w:val="1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1B"/>
    <w:rsid w:val="002922B1"/>
    <w:rsid w:val="0055311B"/>
    <w:rsid w:val="00584139"/>
    <w:rsid w:val="00730A53"/>
    <w:rsid w:val="00CF7839"/>
    <w:rsid w:val="00D1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9D2D0-A727-E947-BF1A-D7E0761E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/>
    </w:pPr>
    <w:rPr>
      <w:color w:val="00000A"/>
      <w:sz w:val="22"/>
    </w:rPr>
  </w:style>
  <w:style w:type="paragraph" w:styleId="Titre1">
    <w:name w:val="heading 1"/>
    <w:basedOn w:val="Titre"/>
    <w:link w:val="Titre1Car"/>
    <w:pPr>
      <w:outlineLvl w:val="0"/>
    </w:pPr>
  </w:style>
  <w:style w:type="paragraph" w:styleId="Titre2">
    <w:name w:val="heading 2"/>
    <w:basedOn w:val="Titre"/>
    <w:link w:val="Titre2Car"/>
    <w:pPr>
      <w:outlineLvl w:val="1"/>
    </w:pPr>
  </w:style>
  <w:style w:type="paragraph" w:styleId="Titre3">
    <w:name w:val="heading 3"/>
    <w:basedOn w:val="Titre"/>
    <w:link w:val="Titre3Car"/>
    <w:pPr>
      <w:outlineLvl w:val="2"/>
    </w:p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table" w:customStyle="1" w:styleId="TableGridLight">
    <w:name w:val="Table Grid Light"/>
    <w:basedOn w:val="TableauNormal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CaptionChar">
    <w:name w:val="Caption Char"/>
    <w:uiPriority w:val="99"/>
  </w:style>
  <w:style w:type="table" w:styleId="Grilledetableauclaire">
    <w:name w:val="Grid Table Light"/>
    <w:basedOn w:val="TableauNormal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leauGrille1Clair-Accentuation1">
    <w:name w:val="Grid Table 1 Light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TableauGrille1Clair-Accentuation2">
    <w:name w:val="Grid Table 1 Light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TableauGrille1Clair-Accentuation3">
    <w:name w:val="Grid Table 1 Light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TableauGrille1Clair-Accentuation4">
    <w:name w:val="Grid Table 1 Light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TableauGrille1Clair-Accentuation5">
    <w:name w:val="Grid Table 1 Light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TableauGrille1Clair-Accentuation6">
    <w:name w:val="Grid Table 1 Light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2-Accentuation1">
    <w:name w:val="Grid Table 2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TableauGrille2-Accentuation2">
    <w:name w:val="Grid Table 2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TableauGrille2-Accentuation3">
    <w:name w:val="Grid Table 2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TableauGrille2-Accentuation4">
    <w:name w:val="Grid Table 2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TableauGrille2-Accentuation5">
    <w:name w:val="Grid Table 2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TableauGrille2-Accentuation6">
    <w:name w:val="Grid Table 2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3-Accentuation1">
    <w:name w:val="Grid Table 3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TableauGrille3-Accentuation2">
    <w:name w:val="Grid Table 3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TableauGrille3-Accentuation3">
    <w:name w:val="Grid Table 3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TableauGrille3-Accentuation4">
    <w:name w:val="Grid Table 3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TableauGrille3-Accentuation5">
    <w:name w:val="Grid Table 3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TableauGrille3-Accentuation6">
    <w:name w:val="Grid Table 3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4-Accentuation1">
    <w:name w:val="Grid Table 4 Accent 1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styleId="TableauGrille4-Accentuation2">
    <w:name w:val="Grid Table 4 Accent 2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TableauGrille4-Accentuation3">
    <w:name w:val="Grid Table 4 Accent 3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TableauGrille4-Accentuation4">
    <w:name w:val="Grid Table 4 Accent 4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TableauGrille4-Accentuation5">
    <w:name w:val="Grid Table 4 Accent 5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TableauGrille4-Accentuation6">
    <w:name w:val="Grid Table 4 Accent 6"/>
    <w:basedOn w:val="Tableau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styleId="TableauGrille5Fonc-Accentuation2">
    <w:name w:val="Grid Table 5 Dark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styleId="TableauGrille5Fonc-Accentuation3">
    <w:name w:val="Grid Table 5 Dark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styleId="TableauGrille5Fonc-Accentuation5">
    <w:name w:val="Grid Table 5 Dark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styleId="TableauGrille5Fonc-Accentuation6">
    <w:name w:val="Grid Table 5 Dark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Grille6Couleur-Accentuation1">
    <w:name w:val="Grid Table 6 Colorful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TableauGrille6Couleur-Accentuation2">
    <w:name w:val="Grid Table 6 Colorful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TableauGrille6Couleur-Accentuation3">
    <w:name w:val="Grid Table 6 Colorful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TableauGrille6Couleur-Accentuation4">
    <w:name w:val="Grid Table 6 Colorful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TableauGrille6Couleur-Accentuation5">
    <w:name w:val="Grid Table 6 Colorful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6Couleur-Accentuation6">
    <w:name w:val="Grid Table 6 Colorful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Grille7Couleur-Accentuation1">
    <w:name w:val="Grid Table 7 Colorful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TableauGrille7Couleur-Accentuation2">
    <w:name w:val="Grid Table 7 Colorful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TableauGrille7Couleur-Accentuation3">
    <w:name w:val="Grid Table 7 Colorful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TableauGrille7Couleur-Accentuation4">
    <w:name w:val="Grid Table 7 Colorful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TableauGrille7Couleur-Accentuation5">
    <w:name w:val="Grid Table 7 Colorful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-Accentuation6">
    <w:name w:val="Grid Table 7 Colorful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leauListe1Clair-Accentuation1">
    <w:name w:val="List Table 1 Light Accent 1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styleId="TableauListe1Clair-Accentuation2">
    <w:name w:val="List Table 1 Light Accent 2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styleId="TableauListe1Clair-Accentuation3">
    <w:name w:val="List Table 1 Light Accent 3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styleId="TableauListe1Clair-Accentuation4">
    <w:name w:val="List Table 1 Light Accent 4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styleId="TableauListe1Clair-Accentuation5">
    <w:name w:val="List Table 1 Light Accent 5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styleId="TableauListe1Clair-Accentuation6">
    <w:name w:val="List Table 1 Light Accent 6"/>
    <w:basedOn w:val="TableauNormal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2-Accentuation1">
    <w:name w:val="List Table 2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TableauListe2-Accentuation2">
    <w:name w:val="List Table 2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TableauListe2-Accentuation3">
    <w:name w:val="List Table 2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TableauListe2-Accentuation4">
    <w:name w:val="List Table 2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TableauListe2-Accentuation5">
    <w:name w:val="List Table 2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TableauListe2-Accentuation6">
    <w:name w:val="List Table 2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Liste3-Accentuation1">
    <w:name w:val="List Table 3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TableauListe3-Accentuation2">
    <w:name w:val="List Table 3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TableauListe3-Accentuation3">
    <w:name w:val="List Table 3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TableauListe3-Accentuation4">
    <w:name w:val="List Table 3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TableauListe3-Accentuation5">
    <w:name w:val="List Table 3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TableauListe3-Accentuation6">
    <w:name w:val="List Table 3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4-Accentuation1">
    <w:name w:val="List Table 4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TableauListe4-Accentuation2">
    <w:name w:val="List Table 4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TableauListe4-Accentuation3">
    <w:name w:val="List Table 4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TableauListe4-Accentuation4">
    <w:name w:val="List Table 4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TableauListe4-Accentuation5">
    <w:name w:val="List Table 4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TableauListe4-Accentuation6">
    <w:name w:val="List Table 4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leauListe5Fonc-Accentuation1">
    <w:name w:val="List Table 5 Dark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styleId="TableauListe5Fonc-Accentuation2">
    <w:name w:val="List Table 5 Dark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styleId="TableauListe5Fonc-Accentuation3">
    <w:name w:val="List Table 5 Dark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styleId="TableauListe5Fonc-Accentuation4">
    <w:name w:val="List Table 5 Dark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styleId="TableauListe5Fonc-Accentuation5">
    <w:name w:val="List Table 5 Dark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styleId="TableauListe5Fonc-Accentuation6">
    <w:name w:val="List Table 5 Dark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leauListe6Couleur-Accentuation1">
    <w:name w:val="List Table 6 Colorful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TableauListe6Couleur-Accentuation2">
    <w:name w:val="List Table 6 Colorful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TableauListe6Couleur-Accentuation3">
    <w:name w:val="List Table 6 Colorful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TableauListe6Couleur-Accentuation4">
    <w:name w:val="List Table 6 Colorful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TableauListe6Couleur-Accentuation5">
    <w:name w:val="List Table 6 Colorful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TableauListe6Couleur-Accentuation6">
    <w:name w:val="List Table 6 Colorful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Liste7Couleur-Accentuation1">
    <w:name w:val="List Table 7 Colorful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TableauListe7Couleur-Accentuation2">
    <w:name w:val="List Table 7 Colorful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TableauListe7Couleur-Accentuation3">
    <w:name w:val="List Table 7 Colorful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TableauListe7Couleur-Accentuation4">
    <w:name w:val="List Table 7 Colorful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TableauListe7Couleur-Accentuation5">
    <w:name w:val="List Table 7 Colorful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TableauListe7Couleur-Accentuation6">
    <w:name w:val="List Table 7 Colorful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line="240" w:lineRule="auto"/>
    </w:pPr>
    <w:rPr>
      <w:color w:val="404040"/>
      <w:szCs w:val="20"/>
      <w:lang w:val="en-US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En-tteCar">
    <w:name w:val="En-tête Car"/>
    <w:basedOn w:val="Policepardfaut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  <w:qFormat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qFormat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b/>
      <w:bCs/>
      <w:sz w:val="20"/>
      <w:szCs w:val="20"/>
    </w:rPr>
  </w:style>
  <w:style w:type="character" w:customStyle="1" w:styleId="ListLabel1">
    <w:name w:val="ListLabel 1"/>
    <w:qFormat/>
    <w:rPr>
      <w:rFonts w:ascii="Arial" w:eastAsia="Calibri" w:hAnsi="Arial" w:cs="Arial"/>
      <w:b/>
      <w:sz w:val="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Arial" w:hAnsi="Arial" w:cs="Arial"/>
      <w:b/>
      <w:sz w:val="8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En-tte">
    <w:name w:val="header"/>
    <w:basedOn w:val="Normal"/>
    <w:link w:val="En-tteC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pPr>
      <w:spacing w:line="240" w:lineRule="auto"/>
    </w:pPr>
    <w:rPr>
      <w:color w:val="00000A"/>
      <w:sz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Pr>
      <w:b/>
      <w:bCs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JFtableau">
    <w:name w:val="JF_tableau"/>
    <w:qFormat/>
    <w:pPr>
      <w:widowControl w:val="0"/>
      <w:spacing w:line="252" w:lineRule="auto"/>
      <w:ind w:left="113"/>
    </w:pPr>
    <w:rPr>
      <w:rFonts w:ascii="Liberation Serif" w:eastAsia="Droid Sans Fallback" w:hAnsi="Liberation Serif" w:cs="FreeSans"/>
      <w:color w:val="00000A"/>
      <w:sz w:val="22"/>
      <w:szCs w:val="24"/>
      <w:lang w:eastAsia="zh-CN" w:bidi="hi-IN"/>
    </w:r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  <w:link w:val="Sous-titreCar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vision">
    <w:name w:val="Revision"/>
    <w:hidden/>
    <w:uiPriority w:val="99"/>
    <w:semiHidden/>
    <w:pPr>
      <w:spacing w:line="240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8606D-152B-4F59-B9C6-10A3308C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730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Mathias</cp:lastModifiedBy>
  <cp:revision>7</cp:revision>
  <cp:lastPrinted>2025-03-25T15:28:00Z</cp:lastPrinted>
  <dcterms:created xsi:type="dcterms:W3CDTF">2025-01-10T08:21:00Z</dcterms:created>
  <dcterms:modified xsi:type="dcterms:W3CDTF">2025-03-25T15:28:00Z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CNRS - DELEGATION ALSACE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